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C8C080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1</w:t>
      </w:r>
      <w:bookmarkStart w:id="7" w:name="_GoBack"/>
      <w:bookmarkEnd w:id="7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 w14:paraId="7527770D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 w14:paraId="4CB40AAC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福建东南设计集团有限公司</w:t>
      </w:r>
      <w:r>
        <w:rPr>
          <w:rFonts w:hint="eastAsia"/>
          <w:color w:val="auto"/>
          <w:highlight w:val="none"/>
        </w:rPr>
        <w:t>（比选人）：</w:t>
      </w:r>
    </w:p>
    <w:p w14:paraId="5BFC80FD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福建东南设计集团有限公司2024-2026年审计服务机构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福建东南设计集团有限公司2024-2026年审计服务机构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 w14:paraId="43482DE7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 w14:paraId="28E20C0A"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 w14:paraId="19E15F73"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其他证明文件</w:t>
      </w:r>
      <w:r>
        <w:rPr>
          <w:rFonts w:hint="eastAsia"/>
          <w:color w:val="auto"/>
          <w:highlight w:val="none"/>
          <w:lang w:eastAsia="zh-CN"/>
        </w:rPr>
        <w:t>。</w:t>
      </w:r>
    </w:p>
    <w:p w14:paraId="6465F332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 w14:paraId="6766CBAE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 w14:paraId="556BCE41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 w14:paraId="369D4E04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 w14:paraId="69B03F89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69753B39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 w14:paraId="117E3E2D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3CA29714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 w14:paraId="492D749A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 w14:paraId="4C857640"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 w14:paraId="27911102">
      <w:pPr>
        <w:pStyle w:val="43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 w14:paraId="45104D6B">
      <w:pPr>
        <w:pStyle w:val="43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2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 w14:paraId="5AC47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53E089B6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3097A6F8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06802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231C0990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1A8E8D41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60732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1DFB14D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法定代表人（负责人）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姓名</w:t>
            </w:r>
          </w:p>
        </w:tc>
        <w:tc>
          <w:tcPr>
            <w:tcW w:w="3240" w:type="dxa"/>
            <w:noWrap w:val="0"/>
            <w:vAlign w:val="center"/>
          </w:tcPr>
          <w:p w14:paraId="4EFFE89F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60B961A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 w14:paraId="55967BAF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10C27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4A4D522A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 w14:paraId="012FDF94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B18085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 w14:paraId="671B5056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5C3C0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321B8B6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 w14:paraId="22E53F11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638FBF7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 w14:paraId="5A30F80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4409C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70D872A2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 w14:paraId="7B017643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AFDA817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 w14:paraId="67B06E56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15152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 w14:paraId="35F70B5A">
            <w:pPr>
              <w:pStyle w:val="43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 w14:paraId="284038C2">
            <w:pPr>
              <w:pStyle w:val="43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 w14:paraId="688B3896">
      <w:pPr>
        <w:pStyle w:val="43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 w14:paraId="2CAAD86A">
      <w:pPr>
        <w:pStyle w:val="43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 w14:paraId="73D9C6EF"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  <w:lang w:eastAsia="zh-CN"/>
        </w:rPr>
        <w:t>法定代表人（负责人）</w:t>
      </w:r>
      <w:r>
        <w:rPr>
          <w:rFonts w:hint="eastAsia" w:ascii="宋体"/>
          <w:color w:val="auto"/>
          <w:sz w:val="24"/>
          <w:highlight w:val="none"/>
        </w:rPr>
        <w:t>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 w14:paraId="551FF94C"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 w14:paraId="2FD76653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 w14:paraId="41C95F4D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  <w:t>★注意：</w:t>
      </w:r>
    </w:p>
    <w:p w14:paraId="46D12585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须附上营业执照复印件、法定代表人（负责人）身份证复印件，并加盖单位公章</w:t>
      </w:r>
      <w:r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  <w:t>；</w:t>
      </w:r>
    </w:p>
    <w:p w14:paraId="4EFA9D48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  <w:t>。</w:t>
      </w:r>
    </w:p>
    <w:p w14:paraId="69EBAB51"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485AA309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 w14:paraId="0A62C0AF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 w14:paraId="01B87324">
      <w:pPr>
        <w:pStyle w:val="18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 w14:paraId="2E988B75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</w:t>
      </w:r>
      <w:r>
        <w:rPr>
          <w:rFonts w:hint="eastAsia"/>
          <w:b w:val="0"/>
          <w:bCs w:val="0"/>
          <w:color w:val="auto"/>
          <w:highlight w:val="none"/>
          <w:lang w:eastAsia="zh-CN"/>
        </w:rPr>
        <w:t>法定代表人（负责人）</w:t>
      </w:r>
      <w:r>
        <w:rPr>
          <w:rFonts w:hint="eastAsia"/>
          <w:b w:val="0"/>
          <w:bCs w:val="0"/>
          <w:color w:val="auto"/>
          <w:highlight w:val="none"/>
        </w:rPr>
        <w:t>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 w14:paraId="3884E483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 w14:paraId="4537D99E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B102F80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法定代表人（负责人）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076259F">
      <w:pPr>
        <w:pStyle w:val="18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1712A14D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402CCB1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4CE000B7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3700B57B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 w14:paraId="438106CF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 w14:paraId="1A19AA51">
      <w:pPr>
        <w:pStyle w:val="1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3" w:right="63" w:firstLine="400"/>
        <w:textAlignment w:val="auto"/>
        <w:rPr>
          <w:color w:val="auto"/>
          <w:sz w:val="21"/>
          <w:szCs w:val="21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1.</w:t>
      </w:r>
      <w:r>
        <w:rPr>
          <w:b/>
          <w:bCs/>
          <w:color w:val="auto"/>
          <w:sz w:val="21"/>
          <w:szCs w:val="21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1"/>
          <w:szCs w:val="21"/>
          <w:highlight w:val="none"/>
          <w:u w:val="none"/>
        </w:rPr>
        <w:t>。</w:t>
      </w:r>
      <w:r>
        <w:rPr>
          <w:color w:val="auto"/>
          <w:sz w:val="21"/>
          <w:szCs w:val="21"/>
          <w:highlight w:val="none"/>
          <w:u w:val="none"/>
        </w:rPr>
        <w:t xml:space="preserve"> </w:t>
      </w:r>
    </w:p>
    <w:p w14:paraId="590E67FA"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1-3.其他证明文件</w:t>
      </w:r>
    </w:p>
    <w:p w14:paraId="7486073A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700F1C5F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其他证明文件</w:t>
      </w:r>
    </w:p>
    <w:p w14:paraId="3B6437C4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16" w:lineRule="auto"/>
        <w:ind w:firstLine="562" w:firstLineChars="200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评价办法中要求提供的或比选申请人认为需要提供的证明文件，在此处提供。比选申请人提供的证明文件应内容清晰、真实有效，所有复印件均应加盖比选申请人单位公章。</w:t>
      </w:r>
    </w:p>
    <w:p w14:paraId="3BE358B4">
      <w:pPr>
        <w:pStyle w:val="11"/>
        <w:rPr>
          <w:rFonts w:hint="eastAsia"/>
          <w:color w:val="auto"/>
          <w:lang w:val="en-US" w:eastAsia="zh-CN"/>
        </w:rPr>
      </w:pPr>
    </w:p>
    <w:p w14:paraId="48C11ECA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br w:type="page"/>
      </w:r>
    </w:p>
    <w:p w14:paraId="489FA158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2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 w14:paraId="4B164F0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21D53778">
      <w:pPr>
        <w:rPr>
          <w:color w:val="auto"/>
          <w:sz w:val="24"/>
          <w:szCs w:val="24"/>
          <w:highlight w:val="none"/>
          <w:u w:val="none"/>
        </w:rPr>
      </w:pPr>
    </w:p>
    <w:p w14:paraId="24E282FB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29B4A3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0B880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FBFB63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50A93B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A9919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30193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4305C4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F5BD0C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20CCD1B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审计服务费按《福建省会计师事务所服务收费标准(试行)》的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%计取。</w:t>
            </w:r>
          </w:p>
        </w:tc>
      </w:tr>
      <w:tr w14:paraId="74CD48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489AB6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34CA21D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1021ED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085EF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B1A6F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 w14:paraId="009A090F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 w14:paraId="304A3E0F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583E0FF6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6828F29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法定代表人（负责人）或其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9F9CC4F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3999D23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4C97FEF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71ED7791">
      <w:pPr>
        <w:pStyle w:val="11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</w:t>
      </w:r>
    </w:p>
    <w:p w14:paraId="4A425465">
      <w:pPr>
        <w:pStyle w:val="11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分（比选公告或邀请书规定的比选时间）前不准启封”字样。</w:t>
      </w:r>
    </w:p>
    <w:p w14:paraId="725F1DC4"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  <w:br w:type="page"/>
      </w:r>
    </w:p>
    <w:p w14:paraId="6F4AF5D0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3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：评价办法</w:t>
      </w:r>
    </w:p>
    <w:p w14:paraId="2425EA04">
      <w:p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综合评价中选法</w:t>
      </w:r>
    </w:p>
    <w:p w14:paraId="710DCA48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</w:rPr>
        <w:t>本比选项目采用</w:t>
      </w:r>
      <w:r>
        <w:rPr>
          <w:rFonts w:hint="eastAsia" w:cs="宋体"/>
          <w:b w:val="0"/>
          <w:bCs w:val="0"/>
          <w:color w:val="auto"/>
          <w:sz w:val="28"/>
          <w:szCs w:val="28"/>
          <w:highlight w:val="none"/>
          <w:lang w:eastAsia="zh-CN"/>
        </w:rPr>
        <w:t>综合评价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</w:rPr>
        <w:t>中选法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。</w:t>
      </w:r>
    </w:p>
    <w:p w14:paraId="1F9B1AED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cs="宋体"/>
          <w:color w:val="auto"/>
          <w:sz w:val="28"/>
          <w:szCs w:val="28"/>
          <w:highlight w:val="none"/>
          <w:lang w:val="en-US" w:eastAsia="zh-CN"/>
        </w:rPr>
        <w:t>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若资格条件、报价符合要求的比选申请人仅有1家时，直接确定其为候选单位</w:t>
      </w:r>
      <w:r>
        <w:rPr>
          <w:rFonts w:hint="eastAsia" w:cs="宋体"/>
          <w:color w:val="auto"/>
          <w:sz w:val="28"/>
          <w:szCs w:val="28"/>
          <w:highlight w:val="none"/>
          <w:lang w:eastAsia="zh-CN"/>
        </w:rPr>
        <w:t>。</w:t>
      </w:r>
    </w:p>
    <w:p w14:paraId="66FE51E3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cs="宋体"/>
          <w:color w:val="auto"/>
          <w:sz w:val="28"/>
          <w:szCs w:val="28"/>
          <w:highlight w:val="none"/>
          <w:lang w:val="en-US" w:eastAsia="zh-CN"/>
        </w:rPr>
        <w:t>②</w:t>
      </w:r>
      <w:r>
        <w:rPr>
          <w:rFonts w:hint="eastAsia" w:cs="宋体"/>
          <w:color w:val="auto"/>
          <w:sz w:val="28"/>
          <w:szCs w:val="28"/>
          <w:highlight w:val="none"/>
          <w:lang w:eastAsia="zh-CN"/>
        </w:rPr>
        <w:t>若资格条件、报价符合要求的比选申请人数量超过1家时，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符合要求的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按照本</w:t>
      </w:r>
      <w:r>
        <w:rPr>
          <w:rFonts w:hint="eastAsia" w:cs="宋体"/>
          <w:color w:val="auto"/>
          <w:sz w:val="28"/>
          <w:szCs w:val="28"/>
          <w:highlight w:val="none"/>
          <w:lang w:eastAsia="zh-CN"/>
        </w:rPr>
        <w:t>评价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办法中规定的各项因素进行</w:t>
      </w:r>
      <w:r>
        <w:rPr>
          <w:rFonts w:hint="eastAsia" w:cs="宋体"/>
          <w:color w:val="auto"/>
          <w:sz w:val="28"/>
          <w:szCs w:val="28"/>
          <w:highlight w:val="none"/>
          <w:lang w:eastAsia="zh-CN"/>
        </w:rPr>
        <w:t>综合评价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，并根据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比选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申请人的综合得分由高到低排序，综合得分最高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的为第一中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候选人，以此类推选择第二、第三中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候选人。</w:t>
      </w:r>
    </w:p>
    <w:p w14:paraId="5CD38F8F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当出现二个或二个以上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综合得分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相同时，由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依次</w:t>
      </w:r>
      <w:r>
        <w:rPr>
          <w:rFonts w:hint="eastAsia" w:cs="宋体"/>
          <w:color w:val="auto"/>
          <w:sz w:val="28"/>
          <w:szCs w:val="28"/>
          <w:highlight w:val="none"/>
          <w:lang w:eastAsia="zh-CN"/>
        </w:rPr>
        <w:t>按照</w:t>
      </w:r>
      <w:r>
        <w:rPr>
          <w:rFonts w:hint="eastAsia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eastAsia="zh-CN"/>
        </w:rPr>
        <w:t>比选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报价由低到高、技术部分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eastAsia="zh-CN"/>
        </w:rPr>
        <w:t>得分得分由高到低、商务部分得分由高到低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进行排序，若上述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项均相同时，由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随机抽取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以比选申请人提交比选申请书的签到号作为代表号（代表号不再另行抽取）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进行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随机抽取，先抽取出来的球号排序在前。</w:t>
      </w:r>
    </w:p>
    <w:p w14:paraId="5AE72AF7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各项因素分值如下：</w:t>
      </w:r>
    </w:p>
    <w:p w14:paraId="25CADDF7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cs="宋体"/>
          <w:b/>
          <w:bCs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cs="宋体"/>
          <w:b/>
          <w:bCs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cs="宋体"/>
          <w:b/>
          <w:bCs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价格部分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t>得分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 xml:space="preserve">   满分</w:t>
      </w:r>
      <w:r>
        <w:rPr>
          <w:rFonts w:hint="eastAsia" w:cs="宋体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>55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分</w:t>
      </w:r>
    </w:p>
    <w:p w14:paraId="48B203BF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cs="宋体"/>
          <w:b/>
          <w:bCs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cs="宋体"/>
          <w:b/>
          <w:bCs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cs="宋体"/>
          <w:b/>
          <w:bCs/>
          <w:color w:val="auto"/>
          <w:sz w:val="28"/>
          <w:szCs w:val="28"/>
          <w:highlight w:val="none"/>
          <w:lang w:eastAsia="zh-CN"/>
        </w:rPr>
        <w:t>）商务部分得分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 xml:space="preserve">   满分</w:t>
      </w:r>
      <w:r>
        <w:rPr>
          <w:rFonts w:hint="eastAsia" w:cs="宋体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>30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分</w:t>
      </w:r>
    </w:p>
    <w:p w14:paraId="02212E21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cs="宋体"/>
          <w:b/>
          <w:bCs/>
          <w:color w:val="auto"/>
          <w:sz w:val="28"/>
          <w:szCs w:val="28"/>
          <w:highlight w:val="none"/>
          <w:lang w:val="en-US" w:eastAsia="zh-CN"/>
        </w:rPr>
        <w:t>（3）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技术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部分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t>得分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 xml:space="preserve">   满分</w:t>
      </w:r>
      <w:r>
        <w:rPr>
          <w:rFonts w:hint="eastAsia" w:cs="宋体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>15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分</w:t>
      </w:r>
    </w:p>
    <w:p w14:paraId="31DE99C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480"/>
        <w:jc w:val="left"/>
        <w:textAlignment w:val="auto"/>
        <w:rPr>
          <w:rFonts w:ascii="宋体" w:hAnsi="宋体" w:cs="宋体"/>
          <w:color w:val="auto"/>
          <w:kern w:val="1"/>
          <w:sz w:val="28"/>
          <w:szCs w:val="28"/>
          <w:highlight w:val="none"/>
        </w:rPr>
      </w:pPr>
    </w:p>
    <w:p w14:paraId="6311E599">
      <w:pPr>
        <w:pStyle w:val="1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jc w:val="both"/>
        <w:textAlignment w:val="auto"/>
        <w:outlineLvl w:val="9"/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第一部分  价格部分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  <w:lang w:eastAsia="zh-CN"/>
        </w:rPr>
        <w:t>评价标准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ab/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（满分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  <w:u w:val="single"/>
          <w:lang w:val="en-US" w:eastAsia="zh-CN"/>
        </w:rPr>
        <w:t>55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分）</w:t>
      </w:r>
    </w:p>
    <w:tbl>
      <w:tblPr>
        <w:tblStyle w:val="21"/>
        <w:tblpPr w:leftFromText="180" w:rightFromText="180" w:vertAnchor="text" w:horzAnchor="page" w:tblpX="1142" w:tblpY="431"/>
        <w:tblOverlap w:val="never"/>
        <w:tblW w:w="98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381"/>
        <w:gridCol w:w="1374"/>
        <w:gridCol w:w="6285"/>
      </w:tblGrid>
      <w:tr w14:paraId="29C37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tblHeader/>
        </w:trPr>
        <w:tc>
          <w:tcPr>
            <w:tcW w:w="815" w:type="dxa"/>
            <w:noWrap w:val="0"/>
            <w:vAlign w:val="center"/>
          </w:tcPr>
          <w:p w14:paraId="3DC74FFF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 w:val="0"/>
                <w:color w:val="auto"/>
                <w:sz w:val="24"/>
                <w:szCs w:val="24"/>
                <w:highlight w:val="none"/>
              </w:rPr>
            </w:pPr>
            <w:bookmarkStart w:id="0" w:name="_Toc9384"/>
            <w:r>
              <w:rPr>
                <w:rFonts w:hint="eastAsia" w:ascii="宋体" w:hAnsi="宋体" w:eastAsia="宋体" w:cs="宋体"/>
                <w:bCs w:val="0"/>
                <w:color w:val="auto"/>
                <w:sz w:val="24"/>
                <w:szCs w:val="24"/>
                <w:highlight w:val="none"/>
              </w:rPr>
              <w:t>序号</w:t>
            </w:r>
            <w:bookmarkEnd w:id="0"/>
          </w:p>
        </w:tc>
        <w:tc>
          <w:tcPr>
            <w:tcW w:w="1381" w:type="dxa"/>
            <w:noWrap w:val="0"/>
            <w:vAlign w:val="center"/>
          </w:tcPr>
          <w:p w14:paraId="4C98BCBD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 w:val="0"/>
                <w:color w:val="auto"/>
                <w:sz w:val="24"/>
                <w:szCs w:val="24"/>
                <w:highlight w:val="none"/>
              </w:rPr>
            </w:pPr>
            <w:bookmarkStart w:id="1" w:name="_Toc14026"/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评价</w:t>
            </w:r>
            <w:r>
              <w:rPr>
                <w:rFonts w:hint="eastAsia" w:ascii="宋体" w:hAnsi="宋体" w:eastAsia="宋体" w:cs="宋体"/>
                <w:bCs w:val="0"/>
                <w:color w:val="auto"/>
                <w:sz w:val="24"/>
                <w:szCs w:val="24"/>
                <w:highlight w:val="none"/>
              </w:rPr>
              <w:t>项目</w:t>
            </w:r>
            <w:bookmarkEnd w:id="1"/>
          </w:p>
        </w:tc>
        <w:tc>
          <w:tcPr>
            <w:tcW w:w="1374" w:type="dxa"/>
            <w:noWrap w:val="0"/>
            <w:vAlign w:val="center"/>
          </w:tcPr>
          <w:p w14:paraId="6499F0D9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 w:val="0"/>
                <w:color w:val="auto"/>
                <w:sz w:val="24"/>
                <w:szCs w:val="24"/>
                <w:highlight w:val="none"/>
              </w:rPr>
            </w:pPr>
            <w:bookmarkStart w:id="2" w:name="_Toc29875"/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评价</w:t>
            </w:r>
            <w:r>
              <w:rPr>
                <w:rFonts w:hint="eastAsia" w:ascii="宋体" w:hAnsi="宋体" w:eastAsia="宋体" w:cs="宋体"/>
                <w:bCs w:val="0"/>
                <w:color w:val="auto"/>
                <w:sz w:val="24"/>
                <w:szCs w:val="24"/>
                <w:highlight w:val="none"/>
              </w:rPr>
              <w:t>分值</w:t>
            </w:r>
            <w:bookmarkEnd w:id="2"/>
          </w:p>
        </w:tc>
        <w:tc>
          <w:tcPr>
            <w:tcW w:w="6285" w:type="dxa"/>
            <w:noWrap w:val="0"/>
            <w:vAlign w:val="center"/>
          </w:tcPr>
          <w:p w14:paraId="782A7C17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 w:val="0"/>
                <w:color w:val="auto"/>
                <w:sz w:val="24"/>
                <w:szCs w:val="24"/>
                <w:highlight w:val="none"/>
              </w:rPr>
            </w:pPr>
            <w:bookmarkStart w:id="3" w:name="_Toc26366"/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评价</w:t>
            </w:r>
            <w:r>
              <w:rPr>
                <w:rFonts w:hint="eastAsia" w:ascii="宋体" w:hAnsi="宋体" w:eastAsia="宋体" w:cs="宋体"/>
                <w:bCs w:val="0"/>
                <w:color w:val="auto"/>
                <w:sz w:val="24"/>
                <w:szCs w:val="24"/>
                <w:highlight w:val="none"/>
              </w:rPr>
              <w:t>标准</w:t>
            </w:r>
            <w:bookmarkEnd w:id="3"/>
          </w:p>
        </w:tc>
      </w:tr>
      <w:tr w14:paraId="49FBC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5" w:type="dxa"/>
            <w:noWrap w:val="0"/>
            <w:vAlign w:val="center"/>
          </w:tcPr>
          <w:p w14:paraId="28FF6D55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ind w:firstLine="240" w:firstLineChars="1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bookmarkStart w:id="4" w:name="_Toc12598"/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1</w:t>
            </w:r>
            <w:bookmarkEnd w:id="4"/>
          </w:p>
        </w:tc>
        <w:tc>
          <w:tcPr>
            <w:tcW w:w="1381" w:type="dxa"/>
            <w:noWrap w:val="0"/>
            <w:vAlign w:val="center"/>
          </w:tcPr>
          <w:p w14:paraId="0FE75700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bookmarkStart w:id="5" w:name="_Toc16308"/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报价得分</w:t>
            </w:r>
            <w:bookmarkEnd w:id="5"/>
          </w:p>
        </w:tc>
        <w:tc>
          <w:tcPr>
            <w:tcW w:w="1374" w:type="dxa"/>
            <w:noWrap w:val="0"/>
            <w:vAlign w:val="center"/>
          </w:tcPr>
          <w:p w14:paraId="1096BD9B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>55</w:t>
            </w:r>
          </w:p>
        </w:tc>
        <w:tc>
          <w:tcPr>
            <w:tcW w:w="6285" w:type="dxa"/>
            <w:noWrap w:val="0"/>
            <w:vAlign w:val="center"/>
          </w:tcPr>
          <w:p w14:paraId="50107A73">
            <w:pPr>
              <w:widowControl/>
              <w:spacing w:line="440" w:lineRule="atLeas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投标报价得分=投标报价分值满分-（|Ai-评标基准价|÷评标基准价）×100×Q</w:t>
            </w:r>
          </w:p>
          <w:p w14:paraId="76922013">
            <w:pPr>
              <w:widowControl/>
              <w:spacing w:line="440" w:lineRule="atLeas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其中，Ai 为各比选申请人的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报价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；Q为报价每偏离本工程评标基准价1%的取值：</w:t>
            </w:r>
          </w:p>
          <w:p w14:paraId="6C89BDB9">
            <w:pPr>
              <w:widowControl/>
              <w:spacing w:line="440" w:lineRule="atLeas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当合格比选申请人的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报价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≤评标基准价时，Q的取值为0.1；</w:t>
            </w:r>
          </w:p>
          <w:p w14:paraId="26771084">
            <w:pPr>
              <w:widowControl/>
              <w:spacing w:line="440" w:lineRule="atLeas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当合格比选申请人的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报价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&gt;评标基准价时，Q的取值为0.2。</w:t>
            </w:r>
          </w:p>
          <w:p w14:paraId="5AAA74B1">
            <w:pPr>
              <w:widowControl/>
              <w:spacing w:line="4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评标基准价为有效投标人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报价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的算数平均值，评标基准价取整数（以“%”为单位，小数点后第三位“四舍五入”，第四位及以后不计）</w:t>
            </w:r>
          </w:p>
        </w:tc>
      </w:tr>
    </w:tbl>
    <w:p w14:paraId="363721DF">
      <w:pPr>
        <w:rPr>
          <w:rFonts w:hint="eastAsia"/>
          <w:color w:val="auto"/>
        </w:rPr>
      </w:pPr>
    </w:p>
    <w:p w14:paraId="180DF7C1">
      <w:pPr>
        <w:pStyle w:val="19"/>
        <w:jc w:val="both"/>
        <w:outlineLvl w:val="9"/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</w:pPr>
      <w:bookmarkStart w:id="6" w:name="_Toc17988"/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 xml:space="preserve">第二部分  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  <w:lang w:eastAsia="zh-CN"/>
        </w:rPr>
        <w:t>商务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部分</w:t>
      </w:r>
      <w:r>
        <w:rPr>
          <w:rFonts w:hint="eastAsia" w:ascii="宋体" w:hAnsi="宋体" w:cs="宋体"/>
          <w:b/>
          <w:color w:val="auto"/>
          <w:sz w:val="28"/>
          <w:szCs w:val="36"/>
          <w:highlight w:val="none"/>
          <w:lang w:eastAsia="zh-CN"/>
        </w:rPr>
        <w:t>评价标准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（满分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  <w:u w:val="single"/>
          <w:lang w:val="en-US" w:eastAsia="zh-CN"/>
        </w:rPr>
        <w:t>30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分）</w:t>
      </w:r>
    </w:p>
    <w:tbl>
      <w:tblPr>
        <w:tblStyle w:val="21"/>
        <w:tblW w:w="98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5"/>
        <w:gridCol w:w="936"/>
        <w:gridCol w:w="7575"/>
      </w:tblGrid>
      <w:tr w14:paraId="15E28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52F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评分项目</w:t>
            </w: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1B4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分值</w:t>
            </w:r>
          </w:p>
        </w:tc>
        <w:tc>
          <w:tcPr>
            <w:tcW w:w="7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D77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评分方法描述</w:t>
            </w:r>
          </w:p>
        </w:tc>
      </w:tr>
      <w:tr w14:paraId="24619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CE4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1、团队</w:t>
            </w: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82F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15</w:t>
            </w:r>
          </w:p>
        </w:tc>
        <w:tc>
          <w:tcPr>
            <w:tcW w:w="7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EF9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根据各投标人拟派出本项目团队人员情况进行评分：（1）团队中每派出一名注册会计师得3分，满分6分；（2）团队中每派出一名中级职称人员得2分，满分6分；（3）团队中每派出一名初级职称人员得1分，满分3分；</w:t>
            </w:r>
          </w:p>
          <w:p w14:paraId="6829FE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    注：需提供团队成员明细表（格式自拟），并提供团队成员资格证书和在投标人缴纳社保证明材料；未提供材料的不得分，单人多证书的不重复计分（以最高证书等级计分一次）。</w:t>
            </w:r>
          </w:p>
        </w:tc>
      </w:tr>
      <w:tr w14:paraId="0A9C7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" w:hRule="atLeast"/>
          <w:jc w:val="center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ED9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2、业绩</w:t>
            </w: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AA8D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10</w:t>
            </w:r>
          </w:p>
        </w:tc>
        <w:tc>
          <w:tcPr>
            <w:tcW w:w="7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126F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根据各投标人近三年（以合同签订的时间为准）承担过企业集团（资产总额超过1亿元）的年度报表审计项目业绩；提供首个案例的得6分，每增加一个案例加1分，满分10分。</w:t>
            </w:r>
          </w:p>
          <w:p w14:paraId="7E028F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注：需提供：项目合同、审计报告正文（带有二维码）、资产负债表；未提供以上证明材料或提供不全的该业绩不予计分。</w:t>
            </w:r>
          </w:p>
        </w:tc>
      </w:tr>
      <w:tr w14:paraId="1355E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" w:hRule="atLeast"/>
          <w:jc w:val="center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DE6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3、响应</w:t>
            </w: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B54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5</w:t>
            </w:r>
          </w:p>
        </w:tc>
        <w:tc>
          <w:tcPr>
            <w:tcW w:w="7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EAD5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由于本集团的子公司及分公司的数量较多，为了便于审计工作的开展及后续沟通的便利，在采购人对中标人提出审计及其他等工作要求后，中标人应及时对接响应，投标人承诺（提供承诺函）响应时间在1小时以内的得5分，1-3小时得3分，3-5小时得1分，超过5小时不得分。</w:t>
            </w:r>
          </w:p>
        </w:tc>
      </w:tr>
    </w:tbl>
    <w:p w14:paraId="0431FD15">
      <w:pPr>
        <w:pStyle w:val="19"/>
        <w:jc w:val="both"/>
        <w:outlineLvl w:val="9"/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第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  <w:lang w:eastAsia="zh-CN"/>
        </w:rPr>
        <w:t>三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部分  技术部分</w:t>
      </w:r>
      <w:r>
        <w:rPr>
          <w:rFonts w:hint="eastAsia" w:ascii="宋体" w:hAnsi="宋体" w:cs="宋体"/>
          <w:b/>
          <w:color w:val="auto"/>
          <w:sz w:val="28"/>
          <w:szCs w:val="36"/>
          <w:highlight w:val="none"/>
          <w:lang w:eastAsia="zh-CN"/>
        </w:rPr>
        <w:t>评价标准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（满分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  <w:u w:val="single"/>
          <w:lang w:val="en-US" w:eastAsia="zh-CN"/>
        </w:rPr>
        <w:t>15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分）</w:t>
      </w:r>
      <w:bookmarkEnd w:id="6"/>
    </w:p>
    <w:tbl>
      <w:tblPr>
        <w:tblStyle w:val="21"/>
        <w:tblW w:w="100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4"/>
        <w:gridCol w:w="870"/>
        <w:gridCol w:w="7776"/>
      </w:tblGrid>
      <w:tr w14:paraId="765E3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ACE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评分项目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6DDC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分值</w:t>
            </w:r>
          </w:p>
        </w:tc>
        <w:tc>
          <w:tcPr>
            <w:tcW w:w="77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787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评分方法描述</w:t>
            </w:r>
          </w:p>
        </w:tc>
      </w:tr>
      <w:tr w14:paraId="527BD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E248B">
            <w:pPr>
              <w:pStyle w:val="5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24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1、时间及人员安排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3FEBFE">
            <w:pPr>
              <w:pStyle w:val="5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5</w:t>
            </w:r>
          </w:p>
        </w:tc>
        <w:tc>
          <w:tcPr>
            <w:tcW w:w="7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35AC9D">
            <w:pPr>
              <w:pStyle w:val="5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yellow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根据各投标人对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东南设计集团全集团年度财务报表审计工作时间及人员安排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由评委进行比较评价，详细、可行、合理的得5分,较详细、较可行、较合理的得3分；不详细、不可行、不合理的得1分；未提供的不得分。</w:t>
            </w:r>
          </w:p>
        </w:tc>
      </w:tr>
      <w:tr w14:paraId="01D40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911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2、工作计划及安排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92B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5</w:t>
            </w:r>
          </w:p>
        </w:tc>
        <w:tc>
          <w:tcPr>
            <w:tcW w:w="7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606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根据各投标人对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东南设计集团全集团年度财务报表审计工作计划及安排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由评委进行比较评价，详细、可行、合理的得5分,较详细、较可行、较合理的得3分；不详细、不可行、不合理的得1分；未提供的不得分。</w:t>
            </w:r>
          </w:p>
        </w:tc>
      </w:tr>
      <w:tr w14:paraId="67E0B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599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3、审计关注重点及审计方法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5F5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5</w:t>
            </w:r>
          </w:p>
        </w:tc>
        <w:tc>
          <w:tcPr>
            <w:tcW w:w="7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50DA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根据各投标人对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东南设计集团全集团不同行业（建设工程设计方面、建设工程施工方面、房地产开发经营方面）审计主要关注重点及审计方法设计方案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（可以从质量、成本、进度、安全和合规性等方面展开）由评委进行横向比较评价，详细、可行、合理的得5分,较详细、较可行、较合理的得3分；不详细、不可行、不合理的得1分；未提供的不得分。</w:t>
            </w:r>
          </w:p>
        </w:tc>
      </w:tr>
    </w:tbl>
    <w:p w14:paraId="042D3282">
      <w:pPr>
        <w:widowControl/>
        <w:spacing w:line="500" w:lineRule="exact"/>
        <w:ind w:firstLine="480"/>
        <w:jc w:val="left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 w:hAnsi="宋体" w:cs="宋体"/>
          <w:color w:val="auto"/>
          <w:kern w:val="1"/>
          <w:sz w:val="28"/>
          <w:szCs w:val="28"/>
          <w:highlight w:val="none"/>
          <w:lang w:eastAsia="zh-CN"/>
        </w:rPr>
        <w:t>注：以上证明文件均应加盖比选申请人单位公章。</w:t>
      </w:r>
    </w:p>
    <w:p w14:paraId="5CE5C8EE">
      <w:pPr>
        <w:pStyle w:val="11"/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decorative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26D0D6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BBF9952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BBF9952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D6036F"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DE652D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59168A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D8652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3A24C6"/>
    <w:rsid w:val="50674285"/>
    <w:rsid w:val="5069710A"/>
    <w:rsid w:val="507E5F1B"/>
    <w:rsid w:val="50A4750D"/>
    <w:rsid w:val="50BA1FB8"/>
    <w:rsid w:val="50E6602D"/>
    <w:rsid w:val="50FA2CEF"/>
    <w:rsid w:val="50FE0569"/>
    <w:rsid w:val="512E2A97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2D215B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1050A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8C5C95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9790883"/>
    <w:rsid w:val="699163F6"/>
    <w:rsid w:val="6AA277E9"/>
    <w:rsid w:val="6B3F31FC"/>
    <w:rsid w:val="6B520650"/>
    <w:rsid w:val="6BA505A7"/>
    <w:rsid w:val="6C0B19A4"/>
    <w:rsid w:val="6C150C79"/>
    <w:rsid w:val="6C2F4CB4"/>
    <w:rsid w:val="6C47127D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9C63A2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AFC296A"/>
    <w:rsid w:val="7B242537"/>
    <w:rsid w:val="7B310FBD"/>
    <w:rsid w:val="7BCB60E0"/>
    <w:rsid w:val="7BD14F61"/>
    <w:rsid w:val="7BDE5535"/>
    <w:rsid w:val="7C0C3ED0"/>
    <w:rsid w:val="7C1F4015"/>
    <w:rsid w:val="7C306F98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paragraph" w:customStyle="1" w:styleId="56">
    <w:name w:val="null3"/>
    <w:basedOn w:val="1"/>
    <w:qFormat/>
    <w:uiPriority w:val="0"/>
    <w:rPr>
      <w:rFonts w:ascii="Calibri" w:hAnsi="Calibri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8</Pages>
  <Words>2319</Words>
  <Characters>2448</Characters>
  <Lines>16</Lines>
  <Paragraphs>4</Paragraphs>
  <TotalTime>7</TotalTime>
  <ScaleCrop>false</ScaleCrop>
  <LinksUpToDate>false</LinksUpToDate>
  <CharactersWithSpaces>2703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Administrator</cp:lastModifiedBy>
  <cp:lastPrinted>2023-02-20T08:54:00Z</cp:lastPrinted>
  <dcterms:modified xsi:type="dcterms:W3CDTF">2024-12-26T00:34:49Z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5B94AE47FB57410888A227B1543AF0E8</vt:lpwstr>
  </property>
  <property fmtid="{D5CDD505-2E9C-101B-9397-08002B2CF9AE}" pid="4" name="KSOTemplateDocerSaveRecord">
    <vt:lpwstr>eyJoZGlkIjoiMGNlNzBhNTk0ZmNiNTNlNDBkODhlNTQ3ZDJkZWIxYTUiLCJ1c2VySWQiOiIyNzYxNzA2MzcifQ==</vt:lpwstr>
  </property>
</Properties>
</file>