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地质勘察及边坡设计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地质勘察及边坡设计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地质勘察及边坡设计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身份证、一级注册造价工程师证书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62B336F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2024-11-04T09:20:21Z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