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bCs/>
          <w:color w:val="auto"/>
          <w:sz w:val="32"/>
          <w:szCs w:val="32"/>
          <w:highlight w:val="none"/>
          <w:lang w:eastAsia="zh-CN"/>
        </w:rPr>
        <w:t>保洁用品</w:t>
      </w:r>
      <w:r>
        <w:rPr>
          <w:rFonts w:hint="eastAsia" w:ascii="黑体" w:hAnsi="黑体" w:eastAsia="黑体" w:cs="黑体"/>
          <w:color w:val="auto"/>
          <w:sz w:val="32"/>
          <w:szCs w:val="32"/>
          <w:highlight w:val="none"/>
          <w:shd w:val="clear" w:color="auto" w:fill="FFFFFF"/>
          <w:lang w:eastAsia="zh-CN"/>
        </w:rPr>
        <w:t>采购清单一览表</w:t>
      </w:r>
    </w:p>
    <w:tbl>
      <w:tblPr>
        <w:tblStyle w:val="7"/>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
        <w:gridCol w:w="1950"/>
        <w:gridCol w:w="1177"/>
        <w:gridCol w:w="1654"/>
        <w:gridCol w:w="781"/>
        <w:gridCol w:w="877"/>
        <w:gridCol w:w="1338"/>
        <w:gridCol w:w="1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blHeader/>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序号</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物料名称</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品牌</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规格</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数量</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单位</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含税单价（元）</w:t>
            </w: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highlight w:val="none"/>
                <w:u w:val="none"/>
              </w:rPr>
            </w:pPr>
            <w:r>
              <w:rPr>
                <w:rFonts w:hint="eastAsia" w:ascii="宋体" w:hAnsi="宋体" w:eastAsia="宋体" w:cs="宋体"/>
                <w:b w:val="0"/>
                <w:bCs w:val="0"/>
                <w:i w:val="0"/>
                <w:iCs w:val="0"/>
                <w:color w:val="000000"/>
                <w:kern w:val="0"/>
                <w:sz w:val="21"/>
                <w:szCs w:val="21"/>
                <w:highlight w:val="none"/>
                <w:u w:val="none"/>
                <w:lang w:val="en-US" w:eastAsia="zh-CN" w:bidi="ar"/>
              </w:rPr>
              <w:t>含税合价（元）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垃圾袋（30个装）</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45*50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21"/>
                <w:szCs w:val="21"/>
                <w:highlight w:val="none"/>
                <w:u w:val="none"/>
              </w:rPr>
            </w:pPr>
            <w:r>
              <w:rPr>
                <w:rFonts w:hint="eastAsia" w:ascii="宋体" w:hAnsi="宋体" w:eastAsia="宋体" w:cs="宋体"/>
                <w:i w:val="0"/>
                <w:iCs w:val="0"/>
                <w:color w:val="333333"/>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亮净净</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100*120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平口垃圾袋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手提垃圾袋100个</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40*60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金博旺</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120*140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垃圾袋（50个）</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60*80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地铲刀</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铲刀刀片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洗洁精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雕牌</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蓝月亮洗衣液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蓝月亮</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3kg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采薇洁厕液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采薇消毒液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芳菲丽特洁厕液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拉芳洗手液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拉芳</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芳菲丽特洗手液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酸性清洁剂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不干胶清洁剂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慧霖</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神枪杀虫剂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大卫</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空气清洁剂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爱佳</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羊城</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雨衣</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金特威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分体</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回力厚（男）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雨鞋</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回力（女）</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榨水车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软毛扫把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海绵拖把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家洁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家洁25CM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竹扫把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大竹扫把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塑料畚斗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铁畚斗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小心地滑牌</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超宝</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小号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地刷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英雄</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温家乐</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毛巾</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温家乐</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尘推架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犹美达</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钢丝球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套装</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厕刷</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厕吸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茶花</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纱手套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纱手套</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普通</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付</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棕扫把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铝合金伸缩杆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铝合金伸缩杆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市下</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安利</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500ml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市下</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0.8</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草帽</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上海</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蚊香</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金鹿</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芳香球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大号</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涂水器</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伸缩杆</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不锈钢垃圾夹</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南孚电池5#7#</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蚊香液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金鹿</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旋转拖把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妙洁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电烧水壶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金灶九阳</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水管</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4分</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米</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圆100L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圆120L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圆150L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120L垃圾桶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带车轮</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240L垃圾桶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带车轮</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推水刮</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75cm</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多功能清洁车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超宝</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百洁布</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妙洁</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平板车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铁70*110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辆</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平板车</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铁60*90</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辆</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擦手纸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提</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心心相印</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随手泡</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金灶</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不锈钢</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全能水</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拖桶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好太太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旋转拖把（桶）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好太太</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玻璃水</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4.8L</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除胶剂</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芳菲力特</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1加仑</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84消毒液</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采薇</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500g</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背式消毒喷壶</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99</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吹地机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白云850w        型号BF534</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檀香</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高压清洗机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黑猫</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220v,2200W,配10米长枪</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2760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102</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多功能清洗机</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易洁丽</w:t>
            </w: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易丽洁.洁霸</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2320</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垃圾桶60升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有轮子盖子</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104</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垃圾桶100升</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有轮子盖子</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拖把</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棉线</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背式喷雾器</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广丰20L，      12V锂电池</w:t>
            </w: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107</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大盘纸</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心相印</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108</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大盘纸盒</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650</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三明城发城市服务集团有限公司保洁用品采购（二次比选）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三明城发城市服务集团有限公司保洁用品采购（二次比选）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0E8B27CF"/>
    <w:rsid w:val="126B3CDB"/>
    <w:rsid w:val="12BF02B6"/>
    <w:rsid w:val="12D83D85"/>
    <w:rsid w:val="15753D2B"/>
    <w:rsid w:val="1B3B1658"/>
    <w:rsid w:val="1BDA14AF"/>
    <w:rsid w:val="1F937390"/>
    <w:rsid w:val="20D277A0"/>
    <w:rsid w:val="233F4E63"/>
    <w:rsid w:val="27C43285"/>
    <w:rsid w:val="2912062F"/>
    <w:rsid w:val="2A8C4DC6"/>
    <w:rsid w:val="2BB34FC5"/>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8E0271"/>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2024-02-20T08:26:27Z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