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附件1：最高限价清单</w:t>
      </w:r>
    </w:p>
    <w:tbl>
      <w:tblPr>
        <w:tblStyle w:val="21"/>
        <w:tblW w:w="950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7"/>
        <w:gridCol w:w="2665"/>
        <w:gridCol w:w="1961"/>
        <w:gridCol w:w="1081"/>
        <w:gridCol w:w="1355"/>
        <w:gridCol w:w="14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95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  <w:t>最高限价清单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拍摄项目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精修数量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00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65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天悦湾项目社区大门、楼栋外立面</w:t>
            </w:r>
          </w:p>
        </w:tc>
        <w:tc>
          <w:tcPr>
            <w:tcW w:w="196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0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143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00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665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天悦湾项目楼栋双入户大堂、电梯厅</w:t>
            </w:r>
          </w:p>
        </w:tc>
        <w:tc>
          <w:tcPr>
            <w:tcW w:w="196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143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00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665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天悦湾项目架空层</w:t>
            </w:r>
          </w:p>
        </w:tc>
        <w:tc>
          <w:tcPr>
            <w:tcW w:w="196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0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143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00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665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天悦湾项目商业街</w:t>
            </w:r>
          </w:p>
        </w:tc>
        <w:tc>
          <w:tcPr>
            <w:tcW w:w="196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143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00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665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天悦湾项目小区园林景观</w:t>
            </w:r>
          </w:p>
        </w:tc>
        <w:tc>
          <w:tcPr>
            <w:tcW w:w="196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0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143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00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665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天悦湾项目地下车库</w:t>
            </w:r>
          </w:p>
        </w:tc>
        <w:tc>
          <w:tcPr>
            <w:tcW w:w="196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143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</w:trPr>
        <w:tc>
          <w:tcPr>
            <w:tcW w:w="100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差旅</w:t>
            </w:r>
          </w:p>
        </w:tc>
        <w:tc>
          <w:tcPr>
            <w:tcW w:w="1961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计划分4次拍摄，据实结算</w:t>
            </w:r>
          </w:p>
        </w:tc>
        <w:tc>
          <w:tcPr>
            <w:tcW w:w="1081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13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777</w:t>
            </w:r>
          </w:p>
        </w:tc>
        <w:tc>
          <w:tcPr>
            <w:tcW w:w="1431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费用合计（元）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增值税点数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含税报价（元）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33174.24</w:t>
            </w:r>
          </w:p>
        </w:tc>
      </w:tr>
    </w:tbl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2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福建东南设计集团有限公司房地产分公司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eastAsia="zh-CN"/>
        </w:rPr>
        <w:t>城发天悦湾项目实景拍摄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事项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eastAsia="zh-CN"/>
        </w:rPr>
        <w:t>城发天悦湾项目实景拍摄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事项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业绩证明材料。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（1）我公司没有被列入全国失信被执行人名单。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（2）我公司及其拟派出的人员未被依法禁止投标、未存在财产被冻结或接管的情况或处于从业限制期限内。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（4）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43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43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43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43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43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须附上营业执照复印件、法定代表人身份证复印件，并加盖单位公章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18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</w:p>
    <w:p>
      <w:pPr>
        <w:rPr>
          <w:rFonts w:hint="default" w:ascii="宋体"/>
          <w:b/>
          <w:i w:val="0"/>
          <w:i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i w:val="0"/>
          <w:iCs w:val="0"/>
          <w:color w:val="auto"/>
          <w:sz w:val="24"/>
          <w:szCs w:val="24"/>
          <w:highlight w:val="none"/>
          <w:lang w:val="en-US" w:eastAsia="zh-CN"/>
        </w:rPr>
        <w:t>1-3.业绩证明材料</w:t>
      </w: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default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业绩证明材料</w:t>
      </w:r>
    </w:p>
    <w:p>
      <w:pPr>
        <w:pStyle w:val="43"/>
        <w:autoSpaceDE w:val="0"/>
        <w:autoSpaceDN w:val="0"/>
        <w:snapToGrid w:val="0"/>
        <w:spacing w:line="360" w:lineRule="auto"/>
        <w:ind w:firstLine="723" w:firstLineChars="300"/>
        <w:rPr>
          <w:rFonts w:hint="eastAsia" w:cs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cs="宋体"/>
          <w:b/>
          <w:bCs/>
          <w:color w:val="auto"/>
          <w:sz w:val="24"/>
          <w:highlight w:val="none"/>
          <w:lang w:val="en-US" w:eastAsia="zh-CN"/>
        </w:rPr>
        <w:t>比选申请人应具有2项或以上2023年全国地产企业TOP20公司项目景观拍摄案例（地产企业排行以克而瑞地产研究“2023年1-6月中国房地产企业销售榜全口径金额”为准，查询网址：https://mp.weixin.qq.com/s/SIqWklwfIaQxutpn8hXSUA）。</w:t>
      </w:r>
    </w:p>
    <w:p>
      <w:pPr>
        <w:pStyle w:val="43"/>
        <w:autoSpaceDE w:val="0"/>
        <w:autoSpaceDN w:val="0"/>
        <w:snapToGrid w:val="0"/>
        <w:spacing w:line="360" w:lineRule="auto"/>
        <w:ind w:firstLine="723" w:firstLineChars="300"/>
        <w:rPr>
          <w:rFonts w:hint="eastAsia" w:cs="宋体"/>
          <w:b/>
          <w:bCs/>
          <w:color w:val="auto"/>
          <w:sz w:val="24"/>
          <w:highlight w:val="none"/>
          <w:lang w:val="en-US" w:eastAsia="zh-CN"/>
        </w:rPr>
      </w:pPr>
    </w:p>
    <w:p>
      <w:pPr>
        <w:pStyle w:val="43"/>
        <w:autoSpaceDE w:val="0"/>
        <w:autoSpaceDN w:val="0"/>
        <w:snapToGrid w:val="0"/>
        <w:spacing w:line="360" w:lineRule="auto"/>
        <w:ind w:firstLine="723" w:firstLineChars="300"/>
        <w:rPr>
          <w:rFonts w:hint="eastAsia" w:cs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cs="宋体"/>
          <w:b/>
          <w:bCs/>
          <w:color w:val="auto"/>
          <w:sz w:val="24"/>
          <w:highlight w:val="none"/>
          <w:lang w:val="en-US" w:eastAsia="zh-CN"/>
        </w:rPr>
        <w:t>注：</w:t>
      </w:r>
    </w:p>
    <w:p>
      <w:pPr>
        <w:pStyle w:val="43"/>
        <w:autoSpaceDE w:val="0"/>
        <w:autoSpaceDN w:val="0"/>
        <w:snapToGrid w:val="0"/>
        <w:spacing w:line="360" w:lineRule="auto"/>
        <w:ind w:firstLine="723" w:firstLineChars="300"/>
        <w:rPr>
          <w:rFonts w:hint="eastAsia" w:cs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cs="宋体"/>
          <w:b/>
          <w:bCs/>
          <w:color w:val="auto"/>
          <w:sz w:val="24"/>
          <w:highlight w:val="none"/>
          <w:lang w:val="en-US" w:eastAsia="zh-CN"/>
        </w:rPr>
        <w:t>（1）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每项业绩</w:t>
      </w:r>
      <w:r>
        <w:rPr>
          <w:rFonts w:hint="eastAsia" w:cs="宋体"/>
          <w:b/>
          <w:bCs/>
          <w:color w:val="auto"/>
          <w:sz w:val="24"/>
          <w:highlight w:val="none"/>
          <w:lang w:val="en-US" w:eastAsia="zh-CN"/>
        </w:rPr>
        <w:t>应提供业绩证明材料如下：</w:t>
      </w:r>
    </w:p>
    <w:p>
      <w:pPr>
        <w:pStyle w:val="43"/>
        <w:autoSpaceDE w:val="0"/>
        <w:autoSpaceDN w:val="0"/>
        <w:snapToGrid w:val="0"/>
        <w:spacing w:line="360" w:lineRule="auto"/>
        <w:ind w:firstLine="723" w:firstLineChars="300"/>
        <w:rPr>
          <w:rFonts w:hint="eastAsia" w:cs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cs="宋体"/>
          <w:b/>
          <w:bCs/>
          <w:color w:val="auto"/>
          <w:sz w:val="24"/>
          <w:highlight w:val="none"/>
          <w:lang w:val="en-US" w:eastAsia="zh-CN"/>
        </w:rPr>
        <w:t>①合同复印件</w:t>
      </w:r>
      <w:bookmarkStart w:id="0" w:name="_GoBack"/>
      <w:r>
        <w:rPr>
          <w:rFonts w:hint="eastAsia" w:cs="宋体"/>
          <w:b/>
          <w:bCs/>
          <w:color w:val="auto"/>
          <w:sz w:val="24"/>
          <w:highlight w:val="none"/>
          <w:lang w:val="en-US" w:eastAsia="zh-CN"/>
        </w:rPr>
        <w:t>；</w:t>
      </w:r>
    </w:p>
    <w:p>
      <w:pPr>
        <w:pStyle w:val="43"/>
        <w:autoSpaceDE w:val="0"/>
        <w:autoSpaceDN w:val="0"/>
        <w:snapToGrid w:val="0"/>
        <w:spacing w:line="360" w:lineRule="auto"/>
        <w:ind w:firstLine="723" w:firstLineChars="300"/>
        <w:rPr>
          <w:rFonts w:hint="eastAsia" w:cs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cs="宋体"/>
          <w:b/>
          <w:bCs/>
          <w:color w:val="auto"/>
          <w:sz w:val="24"/>
          <w:highlight w:val="none"/>
          <w:lang w:val="en-US" w:eastAsia="zh-CN"/>
        </w:rPr>
        <w:t>②任一笔合同款正式发票复印件</w:t>
      </w:r>
      <w:r>
        <w:rPr>
          <w:rFonts w:hint="eastAsia" w:cs="宋体"/>
          <w:b/>
          <w:bCs/>
          <w:color w:val="auto"/>
          <w:sz w:val="24"/>
          <w:highlight w:val="none"/>
          <w:lang w:val="en-US" w:eastAsia="zh-CN"/>
        </w:rPr>
        <w:t>。</w:t>
      </w:r>
    </w:p>
    <w:p>
      <w:pPr>
        <w:pStyle w:val="43"/>
        <w:autoSpaceDE w:val="0"/>
        <w:autoSpaceDN w:val="0"/>
        <w:snapToGrid w:val="0"/>
        <w:spacing w:line="360" w:lineRule="auto"/>
        <w:ind w:firstLine="723" w:firstLineChars="300"/>
        <w:rPr>
          <w:rFonts w:hint="eastAsia" w:cs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cs="宋体"/>
          <w:b/>
          <w:bCs/>
          <w:color w:val="auto"/>
          <w:sz w:val="24"/>
          <w:highlight w:val="none"/>
          <w:lang w:val="en-US" w:eastAsia="zh-CN"/>
        </w:rPr>
        <w:t>③每项业绩应提供不少于10张业绩案例精修照片彩色打印件，照片应为不同场景不同角度拍摄成果。</w:t>
      </w:r>
    </w:p>
    <w:p>
      <w:pPr>
        <w:pStyle w:val="43"/>
        <w:autoSpaceDE w:val="0"/>
        <w:autoSpaceDN w:val="0"/>
        <w:snapToGrid w:val="0"/>
        <w:spacing w:line="360" w:lineRule="auto"/>
        <w:ind w:firstLine="723" w:firstLineChars="3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cs="宋体"/>
          <w:b/>
          <w:bCs/>
          <w:color w:val="auto"/>
          <w:sz w:val="24"/>
          <w:highlight w:val="none"/>
          <w:lang w:val="en-US" w:eastAsia="zh-CN"/>
        </w:rPr>
        <w:t>（2）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业绩时间以业绩合同签订时间为准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。</w:t>
      </w:r>
    </w:p>
    <w:p>
      <w:pPr>
        <w:pStyle w:val="43"/>
        <w:autoSpaceDE w:val="0"/>
        <w:autoSpaceDN w:val="0"/>
        <w:snapToGrid w:val="0"/>
        <w:spacing w:line="360" w:lineRule="auto"/>
        <w:ind w:firstLine="723" w:firstLineChars="3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cs="宋体"/>
          <w:b/>
          <w:bCs/>
          <w:color w:val="auto"/>
          <w:sz w:val="24"/>
          <w:highlight w:val="none"/>
          <w:lang w:val="en-US" w:eastAsia="zh-CN"/>
        </w:rPr>
        <w:t>（3）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业绩证明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应内容清晰、真实有效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，且均应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加盖比选申请人单位公章。</w:t>
      </w:r>
    </w:p>
    <w:p>
      <w:pPr>
        <w:pStyle w:val="43"/>
        <w:autoSpaceDE w:val="0"/>
        <w:autoSpaceDN w:val="0"/>
        <w:snapToGrid w:val="0"/>
        <w:spacing w:line="360" w:lineRule="auto"/>
        <w:ind w:firstLine="723" w:firstLineChars="3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bookmarkEnd w:id="0"/>
    <w:p>
      <w:pPr>
        <w:pStyle w:val="43"/>
        <w:autoSpaceDE w:val="0"/>
        <w:autoSpaceDN w:val="0"/>
        <w:snapToGrid w:val="0"/>
        <w:spacing w:line="360" w:lineRule="auto"/>
        <w:ind w:firstLine="723" w:firstLineChars="3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br w:type="page"/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3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报价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auto"/>
                <w:kern w:val="0"/>
                <w:sz w:val="24"/>
                <w:szCs w:val="24"/>
                <w:lang w:val="en-US" w:eastAsia="zh-CN" w:bidi="ar-SA"/>
              </w:rPr>
              <w:t>后附分项报价表</w:t>
            </w:r>
          </w:p>
        </w:tc>
      </w:tr>
    </w:tbl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5" w:leftChars="0" w:hanging="425" w:firstLineChars="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5" w:leftChars="0" w:hanging="425" w:firstLineChars="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分（比选公告规定的比选时间）前不准启封”字样。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Chars="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i/>
          <w:iCs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i/>
          <w:iCs/>
          <w:color w:val="auto"/>
          <w:sz w:val="32"/>
          <w:szCs w:val="32"/>
          <w:highlight w:val="none"/>
          <w:shd w:val="clear" w:color="auto" w:fill="FFFFFF"/>
          <w:lang w:eastAsia="zh-CN"/>
        </w:rPr>
        <w:sectPr>
          <w:headerReference r:id="rId5" w:type="default"/>
          <w:footerReference r:id="rId6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tbl>
      <w:tblPr>
        <w:tblStyle w:val="21"/>
        <w:tblW w:w="978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2379"/>
        <w:gridCol w:w="1302"/>
        <w:gridCol w:w="1751"/>
        <w:gridCol w:w="966"/>
        <w:gridCol w:w="1209"/>
        <w:gridCol w:w="12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97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  <w:t>分项报价表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拍摄项目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设备以及型号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精修数量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天悦湾项目社区大门、楼栋外立面</w:t>
            </w:r>
          </w:p>
        </w:tc>
        <w:tc>
          <w:tcPr>
            <w:tcW w:w="1303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（填入设备及型号）  </w:t>
            </w:r>
          </w:p>
        </w:tc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9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天悦湾项目楼栋双入户大堂、电梯厅</w:t>
            </w:r>
          </w:p>
        </w:tc>
        <w:tc>
          <w:tcPr>
            <w:tcW w:w="13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天悦湾项目架空层</w:t>
            </w:r>
          </w:p>
        </w:tc>
        <w:tc>
          <w:tcPr>
            <w:tcW w:w="13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9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天悦湾项目商业街</w:t>
            </w:r>
          </w:p>
        </w:tc>
        <w:tc>
          <w:tcPr>
            <w:tcW w:w="13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天悦湾项目小区园林景观</w:t>
            </w:r>
          </w:p>
        </w:tc>
        <w:tc>
          <w:tcPr>
            <w:tcW w:w="13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9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天悦湾项目地下车库</w:t>
            </w:r>
          </w:p>
        </w:tc>
        <w:tc>
          <w:tcPr>
            <w:tcW w:w="13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90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差旅</w:t>
            </w:r>
          </w:p>
        </w:tc>
        <w:tc>
          <w:tcPr>
            <w:tcW w:w="13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计划分4次拍摄，据实结算</w:t>
            </w:r>
          </w:p>
        </w:tc>
        <w:tc>
          <w:tcPr>
            <w:tcW w:w="96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费用合计（元）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增值税点数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含税报价（元）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113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/>
          <w:lang w:val="en-US" w:eastAsia="zh-CN"/>
        </w:rPr>
      </w:pPr>
    </w:p>
    <w:sectPr>
      <w:pgSz w:w="11906" w:h="16838"/>
      <w:pgMar w:top="1440" w:right="1083" w:bottom="1440" w:left="1083" w:header="851" w:footer="992" w:gutter="0"/>
      <w:cols w:space="0" w:num="1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DC4B77C9"/>
    <w:multiLevelType w:val="singleLevel"/>
    <w:tmpl w:val="DC4B77C9"/>
    <w:lvl w:ilvl="0" w:tentative="0">
      <w:start w:val="1"/>
      <w:numFmt w:val="decimal"/>
      <w:suff w:val="space"/>
      <w:lvlText w:val="%1."/>
      <w:lvlJc w:val="left"/>
      <w:rPr>
        <w:rFonts w:hint="default"/>
        <w:b/>
        <w:bCs/>
        <w:highlight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7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lNzBhNTk0ZmNiNTNlNDBkODhlNTQ3ZDJkZWIxYTUifQ=="/>
    <w:docVar w:name="KSO_WPS_MARK_KEY" w:val="7a9f7f5e-da0a-4f73-9b4a-1e09f0cb8024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E051B"/>
    <w:rsid w:val="01926023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0238E4"/>
    <w:rsid w:val="03704155"/>
    <w:rsid w:val="03D459D5"/>
    <w:rsid w:val="03F014FB"/>
    <w:rsid w:val="040F5693"/>
    <w:rsid w:val="045A3333"/>
    <w:rsid w:val="048B68BE"/>
    <w:rsid w:val="04ED380D"/>
    <w:rsid w:val="052A0989"/>
    <w:rsid w:val="05663939"/>
    <w:rsid w:val="05B82AE4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1608E1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B446FC"/>
    <w:rsid w:val="09E2517C"/>
    <w:rsid w:val="0A043E1E"/>
    <w:rsid w:val="0A185591"/>
    <w:rsid w:val="0A2C33A2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3553DF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4B90588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552360"/>
    <w:rsid w:val="18641DA2"/>
    <w:rsid w:val="186C02C4"/>
    <w:rsid w:val="18D41847"/>
    <w:rsid w:val="19455D09"/>
    <w:rsid w:val="19650358"/>
    <w:rsid w:val="19D81E1E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B03CB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B74FBE"/>
    <w:rsid w:val="22F54A23"/>
    <w:rsid w:val="231150AD"/>
    <w:rsid w:val="236A4B40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1E5368"/>
    <w:rsid w:val="2F610283"/>
    <w:rsid w:val="2F634EE2"/>
    <w:rsid w:val="2FBC28E3"/>
    <w:rsid w:val="2FC00212"/>
    <w:rsid w:val="2FD315A0"/>
    <w:rsid w:val="2FF45B24"/>
    <w:rsid w:val="30241D1F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67F83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DD241D"/>
    <w:rsid w:val="36E07893"/>
    <w:rsid w:val="36F2042F"/>
    <w:rsid w:val="372C24FB"/>
    <w:rsid w:val="37375C96"/>
    <w:rsid w:val="373C3175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D190B"/>
    <w:rsid w:val="3AFE05F7"/>
    <w:rsid w:val="3B0E6FA8"/>
    <w:rsid w:val="3B293089"/>
    <w:rsid w:val="3B3F55B8"/>
    <w:rsid w:val="3B44358E"/>
    <w:rsid w:val="3B4C7172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836796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507B24"/>
    <w:rsid w:val="4A617E1F"/>
    <w:rsid w:val="4AB93531"/>
    <w:rsid w:val="4ACC6915"/>
    <w:rsid w:val="4B79502C"/>
    <w:rsid w:val="4BD25472"/>
    <w:rsid w:val="4C657056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C024EA"/>
    <w:rsid w:val="4ECF13C9"/>
    <w:rsid w:val="4ED225C5"/>
    <w:rsid w:val="4F720CD1"/>
    <w:rsid w:val="4F986FD4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8E562A"/>
    <w:rsid w:val="50A4750D"/>
    <w:rsid w:val="50BA1FB8"/>
    <w:rsid w:val="50D47596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5A72BF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0548A"/>
    <w:rsid w:val="5AB126F6"/>
    <w:rsid w:val="5ABA1F30"/>
    <w:rsid w:val="5AE05F3C"/>
    <w:rsid w:val="5AF40B6F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6E2A30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747CBB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621AA2"/>
    <w:rsid w:val="6C733C7B"/>
    <w:rsid w:val="6D2A440F"/>
    <w:rsid w:val="6D596CF4"/>
    <w:rsid w:val="6D975C3C"/>
    <w:rsid w:val="6DD4231C"/>
    <w:rsid w:val="6DF42310"/>
    <w:rsid w:val="6E001551"/>
    <w:rsid w:val="6E545DED"/>
    <w:rsid w:val="6EB82C47"/>
    <w:rsid w:val="6EBF08CD"/>
    <w:rsid w:val="6EF357A9"/>
    <w:rsid w:val="6F03410B"/>
    <w:rsid w:val="6F122D5A"/>
    <w:rsid w:val="6F4E2668"/>
    <w:rsid w:val="6F5F0058"/>
    <w:rsid w:val="6F652494"/>
    <w:rsid w:val="6F6D70DC"/>
    <w:rsid w:val="6F8A0689"/>
    <w:rsid w:val="6FBB68F4"/>
    <w:rsid w:val="6FCA5A57"/>
    <w:rsid w:val="700B1199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3554C7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annotation text"/>
    <w:basedOn w:val="1"/>
    <w:unhideWhenUsed/>
    <w:qFormat/>
    <w:uiPriority w:val="99"/>
    <w:pPr>
      <w:jc w:val="left"/>
    </w:pPr>
  </w:style>
  <w:style w:type="paragraph" w:styleId="8">
    <w:name w:val="Body Text"/>
    <w:basedOn w:val="1"/>
    <w:next w:val="9"/>
    <w:qFormat/>
    <w:uiPriority w:val="0"/>
    <w:pPr>
      <w:spacing w:line="380" w:lineRule="exact"/>
    </w:pPr>
    <w:rPr>
      <w:sz w:val="24"/>
    </w:rPr>
  </w:style>
  <w:style w:type="paragraph" w:styleId="9">
    <w:name w:val="Body Text First Indent"/>
    <w:basedOn w:val="8"/>
    <w:next w:val="10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10">
    <w:name w:val="toc 6"/>
    <w:basedOn w:val="1"/>
    <w:next w:val="1"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1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12">
    <w:name w:val="Balloon Text"/>
    <w:basedOn w:val="1"/>
    <w:link w:val="35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1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unhideWhenUsed/>
    <w:qFormat/>
    <w:uiPriority w:val="99"/>
  </w:style>
  <w:style w:type="character" w:styleId="28">
    <w:name w:val="HTML Variable"/>
    <w:basedOn w:val="23"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unhideWhenUsed/>
    <w:qFormat/>
    <w:uiPriority w:val="99"/>
  </w:style>
  <w:style w:type="character" w:customStyle="1" w:styleId="32">
    <w:name w:val="页眉 Char"/>
    <w:basedOn w:val="23"/>
    <w:link w:val="14"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qFormat/>
    <w:uiPriority w:val="0"/>
  </w:style>
  <w:style w:type="paragraph" w:customStyle="1" w:styleId="48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3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10</Pages>
  <Words>3400</Words>
  <Characters>3653</Characters>
  <Lines>16</Lines>
  <Paragraphs>4</Paragraphs>
  <TotalTime>0</TotalTime>
  <ScaleCrop>false</ScaleCrop>
  <LinksUpToDate>false</LinksUpToDate>
  <CharactersWithSpaces>4009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Administrator</cp:lastModifiedBy>
  <cp:lastPrinted>2023-10-20T02:05:00Z</cp:lastPrinted>
  <dcterms:modified xsi:type="dcterms:W3CDTF">2023-10-20T08:02:37Z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F673C66DBC89411CBE23A9D702786A28_13</vt:lpwstr>
  </property>
</Properties>
</file>