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三明城发物业有限公司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泰和人家小区消防整改维修项目（二次比选）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泰和人家小区消防整改维修项目（二次比选）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所提交信息材料、比选材料、证明文件真实可靠，并对其真实性承担相应的法律责任。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须附上营业执照复印件、资质证书复印件、《安全生产许可证》复印件、法定代表人身份证复印件，并加盖单位公章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894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656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6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6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比选报价</w:t>
            </w:r>
          </w:p>
        </w:tc>
        <w:tc>
          <w:tcPr>
            <w:tcW w:w="656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ind w:firstLine="240" w:firstLineChars="1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下浮率（设定为K）</w:t>
            </w:r>
          </w:p>
        </w:tc>
        <w:tc>
          <w:tcPr>
            <w:tcW w:w="656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ind w:firstLine="240" w:firstLineChars="100"/>
              <w:jc w:val="left"/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K值为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</w:p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ind w:firstLine="240" w:firstLineChars="100"/>
              <w:jc w:val="left"/>
              <w:rPr>
                <w:rFonts w:hint="default" w:ascii="宋体" w:hAnsi="宋体" w:eastAsiaTheme="minorEastAsia"/>
                <w:color w:val="auto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注：下浮率K值按百分数表示，小数点后保留2位。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整改期限</w:t>
            </w:r>
          </w:p>
        </w:tc>
        <w:tc>
          <w:tcPr>
            <w:tcW w:w="656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  </w:t>
            </w:r>
          </w:p>
        </w:tc>
      </w:tr>
      <w:tr>
        <w:trPr>
          <w:trHeight w:val="1279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6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本项目比选报价=（最高控制价-暂列金额-专业工程暂估价）×（1-K）+暂列金额+专业工程暂估价。</w:t>
            </w:r>
          </w:p>
          <w:p>
            <w:pPr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其中，暂列金额：12909元；专业工程暂估价：50000元。</w:t>
            </w: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C46C3"/>
    <w:rsid w:val="4D707C70"/>
    <w:rsid w:val="6B05269A"/>
    <w:rsid w:val="74057894"/>
    <w:rsid w:val="7E93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2023-09-13T03:19:00Z</dcterms:created>
  <dc:creator>Administrator</dc:creator>
  <cp:lastModifiedBy>陈梦飞</cp:lastModifiedBy>
  <dcterms:modified xsi:type="dcterms:W3CDTF">2023-10-19T09:47:10Z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45B077A6C02A4FE3B7760B4DFD562FE4</vt:lpwstr>
  </property>
</Properties>
</file>