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三明市报废汽车回收拆解有限公司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废有色金属处置项目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废有色金属处置项目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10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所提交信息材料、比选材料、证明文件真实可靠，并对其真实性承担相应的法律责任。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10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4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4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4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4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4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4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4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4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14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10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须附上营业执照复印件、法定代表人身份证复印件，并加盖单位公章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10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10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10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>
      <w:pPr>
        <w:pStyle w:val="10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10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0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0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0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10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0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10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10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2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：报价函格式</w:t>
      </w:r>
    </w:p>
    <w:p>
      <w:pPr>
        <w:pStyle w:val="10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20" w:lineRule="atLeast"/>
        <w:jc w:val="center"/>
        <w:textAlignment w:val="auto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三明市报废汽车回收拆解有限公司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废有色金属处置项目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废有色金属处置项目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，承诺各合同包提货时限为</w:t>
      </w:r>
      <w:r>
        <w:rPr>
          <w:rFonts w:hint="eastAsia"/>
          <w:color w:val="auto"/>
          <w:highlight w:val="none"/>
          <w:u w:val="single"/>
          <w:lang w:eastAsia="zh-CN"/>
        </w:rPr>
        <w:t>合同签订后15日内</w:t>
      </w:r>
      <w:r>
        <w:rPr>
          <w:rFonts w:hint="eastAsia"/>
          <w:color w:val="auto"/>
          <w:highlight w:val="none"/>
          <w:u w:val="none"/>
          <w:lang w:eastAsia="zh-CN"/>
        </w:rPr>
        <w:t>，</w:t>
      </w:r>
      <w:r>
        <w:rPr>
          <w:rFonts w:hint="eastAsia"/>
          <w:color w:val="auto"/>
          <w:highlight w:val="none"/>
          <w:lang w:eastAsia="zh-CN"/>
        </w:rPr>
        <w:t>并按以下金额作出报价：</w:t>
      </w:r>
    </w:p>
    <w:tbl>
      <w:tblPr>
        <w:tblStyle w:val="12"/>
        <w:tblpPr w:leftFromText="180" w:rightFromText="180" w:vertAnchor="text" w:horzAnchor="page" w:tblpXSpec="center" w:tblpY="357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2430"/>
        <w:gridCol w:w="1551"/>
        <w:gridCol w:w="2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合同包号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货物名称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预计数量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比选报价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（元/吨）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包1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废旧电线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8吨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包2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废铝钢圈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8吨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包3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废铝水箱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9吨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包4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废发动机铝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20吨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包5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废马达电机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15吨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包6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废有色杂物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7吨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包7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废门窗铝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1吨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包8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废铜水箱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0.5吨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4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包9</w:t>
            </w:r>
          </w:p>
        </w:tc>
        <w:tc>
          <w:tcPr>
            <w:tcW w:w="243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废转向拉杆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5吨</w:t>
            </w:r>
          </w:p>
        </w:tc>
        <w:tc>
          <w:tcPr>
            <w:tcW w:w="284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</w:tr>
    </w:tbl>
    <w:p>
      <w:pPr>
        <w:pStyle w:val="10"/>
        <w:spacing w:before="0" w:beforeAutospacing="0" w:after="0" w:afterAutospacing="0" w:line="480" w:lineRule="auto"/>
        <w:jc w:val="both"/>
        <w:rPr>
          <w:color w:val="auto"/>
          <w:highlight w:val="none"/>
        </w:rPr>
      </w:pPr>
    </w:p>
    <w:p>
      <w:pPr>
        <w:pStyle w:val="10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0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0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0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</w:p>
    <w:p>
      <w:pPr>
        <w:pStyle w:val="10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10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10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10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10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pStyle w:val="10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0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0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比选申请人可对上述全部或部分合同包提出比选申请，未提出比选申请的合同包报价栏统一报价填写“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>不提出申请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”字样。</w:t>
      </w:r>
    </w:p>
    <w:p>
      <w:pPr>
        <w:pStyle w:val="7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报价函应独立密封。封套密封处应加盖比选申请人单位公章，并在封套上注明：①比选项目名称；②比选申请人名称；③“报价函”字样；④“在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分（比选公告规定的比选时间）前不准启封”字样。</w:t>
      </w:r>
    </w:p>
    <w:p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56829"/>
    <w:rsid w:val="03280C93"/>
    <w:rsid w:val="059E129D"/>
    <w:rsid w:val="06960F94"/>
    <w:rsid w:val="07727BA5"/>
    <w:rsid w:val="083F66C3"/>
    <w:rsid w:val="0C1E4474"/>
    <w:rsid w:val="0C556A1C"/>
    <w:rsid w:val="12BF02B6"/>
    <w:rsid w:val="12D83D85"/>
    <w:rsid w:val="15753D2B"/>
    <w:rsid w:val="1B3B1658"/>
    <w:rsid w:val="1BDA14AF"/>
    <w:rsid w:val="20D277A0"/>
    <w:rsid w:val="27C43285"/>
    <w:rsid w:val="2912062F"/>
    <w:rsid w:val="2A8C4DC6"/>
    <w:rsid w:val="2EB22EE2"/>
    <w:rsid w:val="2F9467A9"/>
    <w:rsid w:val="30C65D46"/>
    <w:rsid w:val="311469E6"/>
    <w:rsid w:val="31AD13C4"/>
    <w:rsid w:val="31F02F20"/>
    <w:rsid w:val="3200248B"/>
    <w:rsid w:val="32876304"/>
    <w:rsid w:val="32D8051B"/>
    <w:rsid w:val="39AB1652"/>
    <w:rsid w:val="3A0D04A3"/>
    <w:rsid w:val="3B366E92"/>
    <w:rsid w:val="3B582EDF"/>
    <w:rsid w:val="3D09223A"/>
    <w:rsid w:val="3EAE1148"/>
    <w:rsid w:val="42730E06"/>
    <w:rsid w:val="42A773EB"/>
    <w:rsid w:val="46450240"/>
    <w:rsid w:val="476F36E5"/>
    <w:rsid w:val="48A06FE7"/>
    <w:rsid w:val="48FE6CDB"/>
    <w:rsid w:val="4AE92DC6"/>
    <w:rsid w:val="4B0561C1"/>
    <w:rsid w:val="4C1B19B4"/>
    <w:rsid w:val="4D231C06"/>
    <w:rsid w:val="51EE3B97"/>
    <w:rsid w:val="56975A7B"/>
    <w:rsid w:val="56C80AF1"/>
    <w:rsid w:val="56F86AFC"/>
    <w:rsid w:val="57030DBA"/>
    <w:rsid w:val="5B5149EB"/>
    <w:rsid w:val="5FAF2DB4"/>
    <w:rsid w:val="63E37F18"/>
    <w:rsid w:val="641E28D5"/>
    <w:rsid w:val="672204A7"/>
    <w:rsid w:val="67491C63"/>
    <w:rsid w:val="6823254E"/>
    <w:rsid w:val="69CA50FF"/>
    <w:rsid w:val="6AE41559"/>
    <w:rsid w:val="6E46636E"/>
    <w:rsid w:val="70BD60B7"/>
    <w:rsid w:val="70CD6C5E"/>
    <w:rsid w:val="70F121C0"/>
    <w:rsid w:val="723F172D"/>
    <w:rsid w:val="72C57E4E"/>
    <w:rsid w:val="72F55F4B"/>
    <w:rsid w:val="73482AB1"/>
    <w:rsid w:val="74E74C92"/>
    <w:rsid w:val="75B0150C"/>
    <w:rsid w:val="778F1C6E"/>
    <w:rsid w:val="79AE4BD3"/>
    <w:rsid w:val="7A533B56"/>
    <w:rsid w:val="7A66771C"/>
    <w:rsid w:val="7C9B0C3B"/>
    <w:rsid w:val="7D6E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iPriority="39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表格文字"/>
    <w:basedOn w:val="1"/>
    <w:next w:val="3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styleId="3">
    <w:name w:val="Body Text"/>
    <w:basedOn w:val="1"/>
    <w:next w:val="4"/>
    <w:qFormat/>
    <w:uiPriority w:val="0"/>
    <w:pPr>
      <w:spacing w:line="380" w:lineRule="exact"/>
    </w:pPr>
    <w:rPr>
      <w:sz w:val="24"/>
    </w:rPr>
  </w:style>
  <w:style w:type="paragraph" w:styleId="4">
    <w:name w:val="Body Text First Indent"/>
    <w:basedOn w:val="3"/>
    <w:next w:val="5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5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8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2">
    <w:name w:val="Table Grid"/>
    <w:basedOn w:val="1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2021-11-02T02:47:00Z</dcterms:created>
  <dc:creator>HP</dc:creator>
  <cp:lastModifiedBy>陈锡图</cp:lastModifiedBy>
  <dcterms:modified xsi:type="dcterms:W3CDTF">2023-10-17T01:04:49Z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FA766C902C514B2297F64BEC7081245A</vt:lpwstr>
  </property>
</Properties>
</file>