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拆解后摩托车（零配件）（二次比选）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拆解后摩托车（零配件）（二次比选）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拆解后摩托车（零配件）（二次比选）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愿以人民币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>元/台回收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报价包含运输、装卸、税票、售后服务等所有费用。</w:t>
            </w: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53366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2023-08-28T03:05:11Z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