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jc w:val="both"/>
        <w:textAlignment w:val="auto"/>
        <w:rPr>
          <w:rFonts w:hint="eastAsia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bookmarkStart w:id="7" w:name="_GoBack"/>
      <w:r>
        <w:rPr>
          <w:rFonts w:hint="eastAsia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附件3：评估办法</w:t>
      </w:r>
    </w:p>
    <w:bookmarkEnd w:id="7"/>
    <w:p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综合评价中选法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本比选项目采用</w:t>
      </w:r>
      <w:r>
        <w:rPr>
          <w:rFonts w:hint="eastAsia" w:cs="宋体"/>
          <w:b w:val="0"/>
          <w:bCs w:val="0"/>
          <w:color w:val="auto"/>
          <w:sz w:val="24"/>
          <w:szCs w:val="24"/>
          <w:highlight w:val="none"/>
          <w:lang w:eastAsia="zh-CN"/>
        </w:rPr>
        <w:t>综合评价中选法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若资格条件、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技术、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报价符合要求的比选申请人仅有1家时，直接确定其为候选单位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。若资格条件、技术、报价符合要求的比选申请人数量超过1家时，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符合要求的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按照本评估办法中规定的各项因素进行综合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评估，并根据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比选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申请人的综合得分由高到低排序，综合得分最高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的为第一中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候选人，以此类推选择第二、第三中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候选人。当出现二个或二个以上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综合得分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相同时，由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依次按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报价由低到高、方案设计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得分由高到低、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营业占比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得分由高到低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进行排序，若上述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项均相同时，由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比选人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随机抽取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以比选申请人提交比选申请书的签到号作为代表号（代表号不再另行抽取）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进行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随机抽取，先抽取出来的球号排序在前。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各项因素分值如下：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A：价格部分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得分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 xml:space="preserve">   满分</w:t>
      </w:r>
      <w:r>
        <w:rPr>
          <w:rFonts w:hint="eastAsia" w:cs="宋体"/>
          <w:b/>
          <w:bCs/>
          <w:color w:val="auto"/>
          <w:sz w:val="24"/>
          <w:szCs w:val="24"/>
          <w:highlight w:val="none"/>
          <w:lang w:val="en-US" w:eastAsia="zh-CN"/>
        </w:rPr>
        <w:t>20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分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40"/>
        <w:jc w:val="both"/>
        <w:textAlignment w:val="auto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B：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技术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部分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得分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 xml:space="preserve">   满分</w:t>
      </w:r>
      <w:r>
        <w:rPr>
          <w:rFonts w:hint="eastAsia" w:cs="宋体"/>
          <w:b/>
          <w:bCs/>
          <w:color w:val="auto"/>
          <w:sz w:val="24"/>
          <w:szCs w:val="24"/>
          <w:highlight w:val="none"/>
          <w:lang w:val="en-US" w:eastAsia="zh-CN"/>
        </w:rPr>
        <w:t>80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480"/>
        <w:jc w:val="left"/>
        <w:textAlignment w:val="auto"/>
        <w:rPr>
          <w:rFonts w:ascii="宋体" w:hAnsi="宋体" w:cs="宋体"/>
          <w:color w:val="auto"/>
          <w:kern w:val="1"/>
          <w:sz w:val="24"/>
          <w:szCs w:val="24"/>
          <w:highlight w:val="none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jc w:val="both"/>
        <w:textAlignment w:val="auto"/>
        <w:outlineLvl w:val="9"/>
        <w:rPr>
          <w:rFonts w:hint="eastAsia" w:ascii="宋体" w:hAnsi="宋体" w:cs="宋体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Cs w:val="0"/>
          <w:color w:val="auto"/>
          <w:sz w:val="24"/>
          <w:szCs w:val="24"/>
          <w:highlight w:val="none"/>
        </w:rPr>
        <w:t>第一部分  价格部分</w:t>
      </w:r>
      <w:r>
        <w:rPr>
          <w:rFonts w:hint="eastAsia" w:ascii="宋体" w:hAnsi="宋体" w:cs="宋体"/>
          <w:bCs w:val="0"/>
          <w:color w:val="auto"/>
          <w:sz w:val="24"/>
          <w:szCs w:val="24"/>
          <w:highlight w:val="none"/>
          <w:lang w:eastAsia="zh-CN"/>
        </w:rPr>
        <w:t>评估标准</w:t>
      </w:r>
      <w:r>
        <w:rPr>
          <w:rFonts w:hint="eastAsia" w:ascii="宋体" w:hAnsi="宋体" w:cs="宋体"/>
          <w:bCs w:val="0"/>
          <w:color w:val="auto"/>
          <w:sz w:val="24"/>
          <w:szCs w:val="24"/>
          <w:highlight w:val="none"/>
        </w:rPr>
        <w:tab/>
      </w:r>
      <w:r>
        <w:rPr>
          <w:rFonts w:hint="eastAsia" w:ascii="宋体" w:hAnsi="宋体" w:cs="宋体"/>
          <w:bCs w:val="0"/>
          <w:color w:val="auto"/>
          <w:sz w:val="24"/>
          <w:szCs w:val="24"/>
          <w:highlight w:val="none"/>
        </w:rPr>
        <w:t>（满分</w:t>
      </w:r>
      <w:r>
        <w:rPr>
          <w:rFonts w:hint="eastAsia" w:ascii="宋体" w:hAnsi="宋体" w:cs="宋体"/>
          <w:bCs w:val="0"/>
          <w:color w:val="auto"/>
          <w:sz w:val="24"/>
          <w:szCs w:val="24"/>
          <w:highlight w:val="none"/>
          <w:lang w:val="en-US" w:eastAsia="zh-CN"/>
        </w:rPr>
        <w:t>20</w:t>
      </w:r>
      <w:r>
        <w:rPr>
          <w:rFonts w:hint="eastAsia" w:ascii="宋体" w:hAnsi="宋体" w:cs="宋体"/>
          <w:bCs w:val="0"/>
          <w:color w:val="auto"/>
          <w:sz w:val="24"/>
          <w:szCs w:val="24"/>
          <w:highlight w:val="none"/>
        </w:rPr>
        <w:t>分）</w:t>
      </w:r>
    </w:p>
    <w:tbl>
      <w:tblPr>
        <w:tblStyle w:val="7"/>
        <w:tblpPr w:leftFromText="180" w:rightFromText="180" w:vertAnchor="text" w:horzAnchor="page" w:tblpX="1142" w:tblpY="431"/>
        <w:tblOverlap w:val="never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381"/>
        <w:gridCol w:w="1374"/>
        <w:gridCol w:w="6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tblHeader/>
        </w:trPr>
        <w:tc>
          <w:tcPr>
            <w:tcW w:w="815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4"/>
                <w:szCs w:val="24"/>
                <w:highlight w:val="none"/>
              </w:rPr>
            </w:pPr>
            <w:bookmarkStart w:id="0" w:name="_Toc9384"/>
            <w:r>
              <w:rPr>
                <w:rFonts w:hint="eastAsia" w:ascii="宋体" w:hAnsi="宋体" w:eastAsia="宋体" w:cs="宋体"/>
                <w:bCs w:val="0"/>
                <w:color w:val="auto"/>
                <w:sz w:val="24"/>
                <w:szCs w:val="24"/>
                <w:highlight w:val="none"/>
              </w:rPr>
              <w:t>序号</w:t>
            </w:r>
            <w:bookmarkEnd w:id="0"/>
          </w:p>
        </w:tc>
        <w:tc>
          <w:tcPr>
            <w:tcW w:w="1381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4"/>
                <w:szCs w:val="24"/>
                <w:highlight w:val="none"/>
              </w:rPr>
            </w:pPr>
            <w:bookmarkStart w:id="1" w:name="_Toc14026"/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评估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4"/>
                <w:szCs w:val="24"/>
                <w:highlight w:val="none"/>
              </w:rPr>
              <w:t>项目</w:t>
            </w:r>
            <w:bookmarkEnd w:id="1"/>
          </w:p>
        </w:tc>
        <w:tc>
          <w:tcPr>
            <w:tcW w:w="1374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4"/>
                <w:szCs w:val="24"/>
                <w:highlight w:val="none"/>
              </w:rPr>
            </w:pPr>
            <w:bookmarkStart w:id="2" w:name="_Toc29875"/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评估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4"/>
                <w:szCs w:val="24"/>
                <w:highlight w:val="none"/>
              </w:rPr>
              <w:t>分值</w:t>
            </w:r>
            <w:bookmarkEnd w:id="2"/>
          </w:p>
        </w:tc>
        <w:tc>
          <w:tcPr>
            <w:tcW w:w="6285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Cs w:val="0"/>
                <w:color w:val="auto"/>
                <w:sz w:val="24"/>
                <w:szCs w:val="24"/>
                <w:highlight w:val="none"/>
              </w:rPr>
            </w:pPr>
            <w:bookmarkStart w:id="3" w:name="_Toc26366"/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评估</w:t>
            </w:r>
            <w:r>
              <w:rPr>
                <w:rFonts w:hint="eastAsia" w:ascii="宋体" w:hAnsi="宋体" w:eastAsia="宋体" w:cs="宋体"/>
                <w:bCs w:val="0"/>
                <w:color w:val="auto"/>
                <w:sz w:val="24"/>
                <w:szCs w:val="24"/>
                <w:highlight w:val="none"/>
              </w:rPr>
              <w:t>标准</w:t>
            </w:r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5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ind w:firstLine="240" w:firstLineChars="1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bookmarkStart w:id="4" w:name="_Toc12598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1</w:t>
            </w:r>
            <w:bookmarkEnd w:id="4"/>
          </w:p>
        </w:tc>
        <w:tc>
          <w:tcPr>
            <w:tcW w:w="1381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bookmarkStart w:id="5" w:name="_Toc16308"/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报价得分</w:t>
            </w:r>
            <w:bookmarkEnd w:id="5"/>
          </w:p>
        </w:tc>
        <w:tc>
          <w:tcPr>
            <w:tcW w:w="1374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分</w:t>
            </w:r>
          </w:p>
        </w:tc>
        <w:tc>
          <w:tcPr>
            <w:tcW w:w="62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最低有效报价得20分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最高有效报价得5分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其余有效报价得15分。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4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eastAsia="zh-CN"/>
              </w:rPr>
              <w:t>注：本项满分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/>
              </w:rPr>
              <w:t>20分，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比选报价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得分小数点后保留两位，第三位“四舍五入”，第四位及以后不计</w:t>
            </w:r>
            <w:r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/>
              </w:rPr>
              <w:t>。</w:t>
            </w:r>
          </w:p>
        </w:tc>
      </w:tr>
    </w:tbl>
    <w:p>
      <w:pPr>
        <w:pStyle w:val="6"/>
        <w:jc w:val="both"/>
        <w:outlineLvl w:val="9"/>
        <w:rPr>
          <w:rFonts w:hint="eastAsia" w:ascii="宋体" w:hAnsi="宋体" w:cs="宋体"/>
          <w:bCs w:val="0"/>
          <w:color w:val="auto"/>
          <w:sz w:val="24"/>
          <w:szCs w:val="24"/>
          <w:highlight w:val="none"/>
        </w:rPr>
      </w:pPr>
      <w:bookmarkStart w:id="6" w:name="_Toc17988"/>
    </w:p>
    <w:p>
      <w:pPr>
        <w:pStyle w:val="6"/>
        <w:jc w:val="both"/>
        <w:outlineLvl w:val="9"/>
        <w:rPr>
          <w:rFonts w:hint="eastAsia" w:ascii="宋体" w:hAnsi="宋体" w:cs="宋体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Cs w:val="0"/>
          <w:color w:val="auto"/>
          <w:sz w:val="24"/>
          <w:szCs w:val="24"/>
          <w:highlight w:val="none"/>
        </w:rPr>
        <w:t>第二部分  技术部分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eastAsia="zh-CN"/>
        </w:rPr>
        <w:t>评估标准</w:t>
      </w:r>
      <w:r>
        <w:rPr>
          <w:rFonts w:hint="eastAsia" w:ascii="宋体" w:hAnsi="宋体" w:cs="宋体"/>
          <w:bCs w:val="0"/>
          <w:color w:val="auto"/>
          <w:sz w:val="24"/>
          <w:szCs w:val="24"/>
          <w:highlight w:val="none"/>
        </w:rPr>
        <w:t>（满分</w:t>
      </w:r>
      <w:r>
        <w:rPr>
          <w:rFonts w:hint="eastAsia" w:ascii="宋体" w:hAnsi="宋体" w:cs="宋体"/>
          <w:bCs w:val="0"/>
          <w:color w:val="auto"/>
          <w:sz w:val="24"/>
          <w:szCs w:val="24"/>
          <w:highlight w:val="none"/>
          <w:lang w:val="en-US" w:eastAsia="zh-CN"/>
        </w:rPr>
        <w:t>80</w:t>
      </w:r>
      <w:r>
        <w:rPr>
          <w:rFonts w:hint="eastAsia" w:ascii="宋体" w:hAnsi="宋体" w:cs="宋体"/>
          <w:bCs w:val="0"/>
          <w:color w:val="auto"/>
          <w:sz w:val="24"/>
          <w:szCs w:val="24"/>
          <w:highlight w:val="none"/>
        </w:rPr>
        <w:t>分）</w:t>
      </w:r>
      <w:bookmarkEnd w:id="6"/>
    </w:p>
    <w:tbl>
      <w:tblPr>
        <w:tblStyle w:val="7"/>
        <w:tblW w:w="98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1357"/>
        <w:gridCol w:w="1389"/>
        <w:gridCol w:w="6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tblHeader/>
          <w:jc w:val="center"/>
        </w:trPr>
        <w:tc>
          <w:tcPr>
            <w:tcW w:w="827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57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评估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项目</w:t>
            </w:r>
          </w:p>
        </w:tc>
        <w:tc>
          <w:tcPr>
            <w:tcW w:w="1389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评估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分值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评估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3" w:hRule="atLeast"/>
          <w:jc w:val="center"/>
        </w:trPr>
        <w:tc>
          <w:tcPr>
            <w:tcW w:w="827" w:type="dxa"/>
            <w:vMerge w:val="restart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5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eastAsia="zh-CN"/>
              </w:rPr>
              <w:t>方案设计</w:t>
            </w: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1"/>
                <w:sz w:val="24"/>
                <w:szCs w:val="24"/>
                <w:highlight w:val="none"/>
                <w:lang w:val="en-US" w:eastAsia="zh-CN"/>
              </w:rPr>
              <w:t>50分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/>
              </w:rPr>
              <w:t>（1）3D渲染效果图，可在实景图或者效果图上进行渲染；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/>
              </w:rPr>
              <w:t>（2）思路清晰、活动方案完整，场景布置合理，营造氛围到位。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  <w:jc w:val="center"/>
        </w:trPr>
        <w:tc>
          <w:tcPr>
            <w:tcW w:w="827" w:type="dxa"/>
            <w:vMerge w:val="continue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5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/>
              </w:rPr>
              <w:t>20分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/>
              </w:rPr>
              <w:t>交付动线规划合理性，推荐合理的交付动线。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  <w:jc w:val="center"/>
        </w:trPr>
        <w:tc>
          <w:tcPr>
            <w:tcW w:w="827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40" w:lineRule="exact"/>
              <w:ind w:firstLine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3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 w:bidi="ar-SA"/>
              </w:rPr>
              <w:t>营业占比</w:t>
            </w:r>
          </w:p>
        </w:tc>
        <w:tc>
          <w:tcPr>
            <w:tcW w:w="13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/>
              </w:rPr>
              <w:t>10分</w:t>
            </w:r>
          </w:p>
        </w:tc>
        <w:tc>
          <w:tcPr>
            <w:tcW w:w="62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  <w:lang w:val="en-US" w:eastAsia="zh-CN"/>
              </w:rPr>
              <w:t>比选申请人近两年具备单项合同金额不少于30万元的房地产交房活动类似业绩2项的得基础分5分；在此基础上增加一项上述业绩得5分；本项满分10分。</w:t>
            </w:r>
          </w:p>
        </w:tc>
      </w:tr>
    </w:tbl>
    <w:p>
      <w:pPr>
        <w:widowControl/>
        <w:spacing w:line="500" w:lineRule="exact"/>
        <w:ind w:firstLine="480"/>
        <w:jc w:val="left"/>
        <w:rPr>
          <w:rFonts w:hint="eastAsia" w:ascii="宋体" w:hAnsi="宋体" w:cs="宋体"/>
          <w:color w:val="auto"/>
          <w:kern w:val="1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kern w:val="1"/>
          <w:sz w:val="24"/>
          <w:szCs w:val="24"/>
          <w:highlight w:val="none"/>
          <w:lang w:eastAsia="zh-CN"/>
        </w:rPr>
        <w:t>注：以上证明材料均应加盖比选申请人单位公章。</w:t>
      </w: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jHpww4AgAAb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mMenDD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44EAA2"/>
    <w:multiLevelType w:val="singleLevel"/>
    <w:tmpl w:val="A344EAA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5E2C47E2"/>
    <w:rsid w:val="05D1531A"/>
    <w:rsid w:val="3E617FE4"/>
    <w:rsid w:val="5E2C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Title"/>
    <w:basedOn w:val="1"/>
    <w:next w:val="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2023-08-25T07:57:00Z</dcterms:created>
  <dc:creator>WPS_290539506</dc:creator>
  <cp:lastModifiedBy>WPS_290539506</cp:lastModifiedBy>
  <dcterms:modified xsi:type="dcterms:W3CDTF">2023-08-25T07:59:16Z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8F205228781342C3AD4748667E89C180_13</vt:lpwstr>
  </property>
</Properties>
</file>