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附件1：清单一览表</w:t>
      </w:r>
    </w:p>
    <w:p>
      <w:pPr>
        <w:pStyle w:val="2"/>
        <w:rPr>
          <w:rFonts w:hint="eastAsia"/>
          <w:highlight w:val="none"/>
          <w:lang w:val="en-US" w:eastAsia="zh-CN"/>
        </w:rPr>
      </w:pPr>
    </w:p>
    <w:tbl>
      <w:tblPr>
        <w:tblStyle w:val="7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2868"/>
        <w:gridCol w:w="28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类型</w:t>
            </w:r>
          </w:p>
        </w:tc>
        <w:tc>
          <w:tcPr>
            <w:tcW w:w="1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规格</w:t>
            </w:r>
          </w:p>
        </w:tc>
        <w:tc>
          <w:tcPr>
            <w:tcW w:w="1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</w:trPr>
        <w:tc>
          <w:tcPr>
            <w:tcW w:w="21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手提式干粉灭火器</w:t>
            </w:r>
          </w:p>
        </w:tc>
        <w:tc>
          <w:tcPr>
            <w:tcW w:w="1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4公斤</w:t>
            </w:r>
          </w:p>
        </w:tc>
        <w:tc>
          <w:tcPr>
            <w:tcW w:w="14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2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ABC推车式干粉灭火器</w:t>
            </w:r>
          </w:p>
        </w:tc>
        <w:tc>
          <w:tcPr>
            <w:tcW w:w="1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35公斤</w:t>
            </w:r>
          </w:p>
        </w:tc>
        <w:tc>
          <w:tcPr>
            <w:tcW w:w="1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2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防烟面罩</w:t>
            </w:r>
          </w:p>
        </w:tc>
        <w:tc>
          <w:tcPr>
            <w:tcW w:w="1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</w:tbl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br w:type="page"/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三明市海鑫投资有限公司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三明市海鑫投资有限公司灭火器采购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三明市海鑫投资有限公司灭火器采购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三明市海鑫投资有限公司灭火器采购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240" w:firstLineChars="100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比选项目名称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：三明市海鑫投资有限公司灭火器采购</w:t>
      </w:r>
    </w:p>
    <w:tbl>
      <w:tblPr>
        <w:tblStyle w:val="8"/>
        <w:tblW w:w="49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607"/>
        <w:gridCol w:w="1529"/>
        <w:gridCol w:w="1762"/>
        <w:gridCol w:w="1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序号</w:t>
            </w:r>
          </w:p>
        </w:tc>
        <w:tc>
          <w:tcPr>
            <w:tcW w:w="1532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型号、规格</w:t>
            </w:r>
          </w:p>
        </w:tc>
        <w:tc>
          <w:tcPr>
            <w:tcW w:w="899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数量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（具）</w:t>
            </w:r>
          </w:p>
        </w:tc>
        <w:tc>
          <w:tcPr>
            <w:tcW w:w="1036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单价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（元/具）</w:t>
            </w:r>
          </w:p>
        </w:tc>
        <w:tc>
          <w:tcPr>
            <w:tcW w:w="115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小计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380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532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4KG手提式干粉灭火器</w:t>
            </w:r>
          </w:p>
        </w:tc>
        <w:tc>
          <w:tcPr>
            <w:tcW w:w="89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520</w:t>
            </w:r>
          </w:p>
        </w:tc>
        <w:tc>
          <w:tcPr>
            <w:tcW w:w="1036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380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532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35KGABC推车式干粉灭火器</w:t>
            </w:r>
          </w:p>
        </w:tc>
        <w:tc>
          <w:tcPr>
            <w:tcW w:w="89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37</w:t>
            </w:r>
          </w:p>
        </w:tc>
        <w:tc>
          <w:tcPr>
            <w:tcW w:w="1036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380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532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防烟面罩</w:t>
            </w:r>
          </w:p>
        </w:tc>
        <w:tc>
          <w:tcPr>
            <w:tcW w:w="89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40</w:t>
            </w:r>
          </w:p>
        </w:tc>
        <w:tc>
          <w:tcPr>
            <w:tcW w:w="1036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913" w:type="pct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比选报价（含税）</w:t>
            </w:r>
          </w:p>
        </w:tc>
        <w:tc>
          <w:tcPr>
            <w:tcW w:w="3086" w:type="pct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（元）</w:t>
            </w:r>
          </w:p>
        </w:tc>
      </w:tr>
    </w:tbl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00" w:lineRule="exact"/>
        <w:ind w:right="474"/>
        <w:jc w:val="left"/>
        <w:rPr>
          <w:rFonts w:hint="eastAsia" w:cs="宋体"/>
          <w:b/>
          <w:bCs/>
          <w:color w:val="auto"/>
          <w:sz w:val="24"/>
          <w:szCs w:val="24"/>
          <w:highlight w:val="none"/>
          <w:lang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00" w:lineRule="exact"/>
        <w:ind w:right="474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cs="宋体"/>
          <w:b/>
          <w:bCs/>
          <w:color w:val="auto"/>
          <w:sz w:val="24"/>
          <w:szCs w:val="24"/>
          <w:highlight w:val="none"/>
          <w:lang w:eastAsia="zh-CN"/>
        </w:rPr>
        <w:t>注：比选申请人的比选报价不得高于最高限价，否则其报价无效。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3ED3401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2023-07-18T01:34:04Z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